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Arial Narrow" w:cs="Arial Narrow" w:hAnsi="Arial Narrow" w:eastAsia="Arial Narrow"/>
          <w:b w:val="1"/>
          <w:bCs w:val="1"/>
          <w:sz w:val="32"/>
          <w:szCs w:val="32"/>
        </w:rPr>
      </w:pPr>
      <w:r>
        <mc:AlternateContent>
          <mc:Choice Requires="wps">
            <w:drawing>
              <wp:anchor distT="80010" distB="80010" distL="80010" distR="80010" simplePos="0" relativeHeight="251659264" behindDoc="0" locked="0" layoutInCell="1" allowOverlap="1">
                <wp:simplePos x="0" y="0"/>
                <wp:positionH relativeFrom="column">
                  <wp:posOffset>938530</wp:posOffset>
                </wp:positionH>
                <wp:positionV relativeFrom="line">
                  <wp:posOffset>-348615</wp:posOffset>
                </wp:positionV>
                <wp:extent cx="3989705" cy="939165"/>
                <wp:effectExtent l="0" t="0" r="0" b="0"/>
                <wp:wrapSquare wrapText="bothSides" distL="80010" distR="80010" distT="80010" distB="80010"/>
                <wp:docPr id="1073741825" name="officeArt object"/>
                <wp:cNvGraphicFramePr/>
                <a:graphic xmlns:a="http://schemas.openxmlformats.org/drawingml/2006/main">
                  <a:graphicData uri="http://schemas.microsoft.com/office/word/2010/wordprocessingShape">
                    <wps:wsp>
                      <wps:cNvSpPr txBox="1"/>
                      <wps:spPr>
                        <a:xfrm>
                          <a:off x="0" y="0"/>
                          <a:ext cx="3989705" cy="939165"/>
                        </a:xfrm>
                        <a:prstGeom prst="rect">
                          <a:avLst/>
                        </a:prstGeom>
                        <a:solidFill>
                          <a:srgbClr val="FFFFFF"/>
                        </a:solidFill>
                        <a:ln w="9525" cap="flat">
                          <a:solidFill>
                            <a:srgbClr val="000000"/>
                          </a:solidFill>
                          <a:prstDash val="solid"/>
                          <a:round/>
                        </a:ln>
                        <a:effectLst/>
                      </wps:spPr>
                      <wps:txbx>
                        <w:txbxContent>
                          <w:p>
                            <w:pPr>
                              <w:pStyle w:val="Body"/>
                              <w:spacing w:after="0"/>
                              <w:rPr>
                                <w:rFonts w:ascii="Tahoma" w:cs="Tahoma" w:hAnsi="Tahoma" w:eastAsia="Tahoma"/>
                                <w:b w:val="1"/>
                                <w:bCs w:val="1"/>
                                <w:sz w:val="32"/>
                                <w:szCs w:val="32"/>
                              </w:rPr>
                            </w:pPr>
                            <w:r>
                              <w:rPr>
                                <w:rFonts w:ascii="Tahoma" w:hAnsi="Tahoma"/>
                                <w:b w:val="1"/>
                                <w:bCs w:val="1"/>
                                <w:sz w:val="32"/>
                                <w:szCs w:val="32"/>
                                <w:rtl w:val="0"/>
                                <w:lang w:val="es-ES_tradnl"/>
                              </w:rPr>
                              <w:t>HOLLYWOOD HAEMATOLOGY GROUP</w:t>
                            </w:r>
                          </w:p>
                          <w:p>
                            <w:pPr>
                              <w:pStyle w:val="Body"/>
                              <w:spacing w:after="0"/>
                              <w:jc w:val="center"/>
                              <w:rPr>
                                <w:rFonts w:ascii="Tahoma" w:cs="Tahoma" w:hAnsi="Tahoma" w:eastAsia="Tahoma"/>
                                <w:sz w:val="20"/>
                                <w:szCs w:val="20"/>
                              </w:rPr>
                            </w:pPr>
                            <w:r>
                              <w:rPr>
                                <w:rFonts w:ascii="Tahoma" w:hAnsi="Tahoma"/>
                                <w:sz w:val="20"/>
                                <w:szCs w:val="20"/>
                                <w:rtl w:val="0"/>
                                <w:lang w:val="en-US"/>
                              </w:rPr>
                              <w:t>Dr Bradley Augustson</w:t>
                            </w:r>
                          </w:p>
                          <w:p>
                            <w:pPr>
                              <w:pStyle w:val="Body"/>
                              <w:spacing w:after="0"/>
                              <w:jc w:val="center"/>
                              <w:rPr>
                                <w:rFonts w:ascii="Tahoma" w:cs="Tahoma" w:hAnsi="Tahoma" w:eastAsia="Tahoma"/>
                                <w:sz w:val="20"/>
                                <w:szCs w:val="20"/>
                              </w:rPr>
                            </w:pPr>
                            <w:r>
                              <w:rPr>
                                <w:rFonts w:ascii="Tahoma" w:hAnsi="Tahoma"/>
                                <w:sz w:val="20"/>
                                <w:szCs w:val="20"/>
                                <w:rtl w:val="0"/>
                                <w:lang w:val="en-US"/>
                              </w:rPr>
                              <w:t>Dr Chan Cheah</w:t>
                            </w:r>
                          </w:p>
                          <w:p>
                            <w:pPr>
                              <w:pStyle w:val="Body"/>
                              <w:spacing w:after="0"/>
                              <w:jc w:val="center"/>
                              <w:rPr>
                                <w:rFonts w:ascii="Tahoma" w:cs="Tahoma" w:hAnsi="Tahoma" w:eastAsia="Tahoma"/>
                                <w:sz w:val="20"/>
                                <w:szCs w:val="20"/>
                              </w:rPr>
                            </w:pPr>
                            <w:r>
                              <w:rPr>
                                <w:rFonts w:ascii="Tahoma" w:hAnsi="Tahoma"/>
                                <w:sz w:val="20"/>
                                <w:szCs w:val="20"/>
                                <w:rtl w:val="0"/>
                                <w:lang w:val="en-US"/>
                              </w:rPr>
                              <w:t>Dr Shane Gangatharan</w:t>
                            </w:r>
                          </w:p>
                          <w:p>
                            <w:pPr>
                              <w:pStyle w:val="Body"/>
                              <w:spacing w:after="100"/>
                              <w:jc w:val="center"/>
                            </w:pPr>
                            <w:r>
                              <w:rPr>
                                <w:sz w:val="20"/>
                                <w:szCs w:val="2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9pt;margin-top:-27.5pt;width:314.1pt;height:73.9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after="0"/>
                        <w:rPr>
                          <w:rFonts w:ascii="Tahoma" w:cs="Tahoma" w:hAnsi="Tahoma" w:eastAsia="Tahoma"/>
                          <w:b w:val="1"/>
                          <w:bCs w:val="1"/>
                          <w:sz w:val="32"/>
                          <w:szCs w:val="32"/>
                        </w:rPr>
                      </w:pPr>
                      <w:r>
                        <w:rPr>
                          <w:rFonts w:ascii="Tahoma" w:hAnsi="Tahoma"/>
                          <w:b w:val="1"/>
                          <w:bCs w:val="1"/>
                          <w:sz w:val="32"/>
                          <w:szCs w:val="32"/>
                          <w:rtl w:val="0"/>
                          <w:lang w:val="es-ES_tradnl"/>
                        </w:rPr>
                        <w:t>HOLLYWOOD HAEMATOLOGY GROUP</w:t>
                      </w:r>
                    </w:p>
                    <w:p>
                      <w:pPr>
                        <w:pStyle w:val="Body"/>
                        <w:spacing w:after="0"/>
                        <w:jc w:val="center"/>
                        <w:rPr>
                          <w:rFonts w:ascii="Tahoma" w:cs="Tahoma" w:hAnsi="Tahoma" w:eastAsia="Tahoma"/>
                          <w:sz w:val="20"/>
                          <w:szCs w:val="20"/>
                        </w:rPr>
                      </w:pPr>
                      <w:r>
                        <w:rPr>
                          <w:rFonts w:ascii="Tahoma" w:hAnsi="Tahoma"/>
                          <w:sz w:val="20"/>
                          <w:szCs w:val="20"/>
                          <w:rtl w:val="0"/>
                          <w:lang w:val="en-US"/>
                        </w:rPr>
                        <w:t>Dr Bradley Augustson</w:t>
                      </w:r>
                    </w:p>
                    <w:p>
                      <w:pPr>
                        <w:pStyle w:val="Body"/>
                        <w:spacing w:after="0"/>
                        <w:jc w:val="center"/>
                        <w:rPr>
                          <w:rFonts w:ascii="Tahoma" w:cs="Tahoma" w:hAnsi="Tahoma" w:eastAsia="Tahoma"/>
                          <w:sz w:val="20"/>
                          <w:szCs w:val="20"/>
                        </w:rPr>
                      </w:pPr>
                      <w:r>
                        <w:rPr>
                          <w:rFonts w:ascii="Tahoma" w:hAnsi="Tahoma"/>
                          <w:sz w:val="20"/>
                          <w:szCs w:val="20"/>
                          <w:rtl w:val="0"/>
                          <w:lang w:val="en-US"/>
                        </w:rPr>
                        <w:t>Dr Chan Cheah</w:t>
                      </w:r>
                    </w:p>
                    <w:p>
                      <w:pPr>
                        <w:pStyle w:val="Body"/>
                        <w:spacing w:after="0"/>
                        <w:jc w:val="center"/>
                        <w:rPr>
                          <w:rFonts w:ascii="Tahoma" w:cs="Tahoma" w:hAnsi="Tahoma" w:eastAsia="Tahoma"/>
                          <w:sz w:val="20"/>
                          <w:szCs w:val="20"/>
                        </w:rPr>
                      </w:pPr>
                      <w:r>
                        <w:rPr>
                          <w:rFonts w:ascii="Tahoma" w:hAnsi="Tahoma"/>
                          <w:sz w:val="20"/>
                          <w:szCs w:val="20"/>
                          <w:rtl w:val="0"/>
                          <w:lang w:val="en-US"/>
                        </w:rPr>
                        <w:t>Dr Shane Gangatharan</w:t>
                      </w:r>
                    </w:p>
                    <w:p>
                      <w:pPr>
                        <w:pStyle w:val="Body"/>
                        <w:spacing w:after="100"/>
                        <w:jc w:val="center"/>
                      </w:pPr>
                      <w:r>
                        <w:rPr>
                          <w:sz w:val="20"/>
                          <w:szCs w:val="20"/>
                        </w:rPr>
                      </w:r>
                    </w:p>
                  </w:txbxContent>
                </v:textbox>
                <w10:wrap type="square" side="bothSides" anchorx="text"/>
              </v:shape>
            </w:pict>
          </mc:Fallback>
        </mc:AlternateContent>
      </w:r>
      <w:r>
        <w:rPr>
          <w:rFonts w:ascii="Arial Narrow" w:cs="Arial Narrow" w:hAnsi="Arial Narrow" w:eastAsia="Arial Narrow"/>
          <w:b w:val="1"/>
          <w:bCs w:val="1"/>
          <w:sz w:val="32"/>
          <w:szCs w:val="32"/>
        </w:rPr>
        <w:tab/>
        <w:tab/>
        <w:tab/>
        <w:tab/>
        <w:tab/>
        <w:tab/>
      </w:r>
    </w:p>
    <w:p>
      <w:pPr>
        <w:pStyle w:val="Body"/>
        <w:spacing w:line="240" w:lineRule="auto"/>
        <w:ind w:left="2160" w:firstLine="0"/>
        <w:rPr>
          <w:rFonts w:ascii="Calibri" w:cs="Calibri" w:hAnsi="Calibri" w:eastAsia="Calibri"/>
          <w:b w:val="1"/>
          <w:bCs w:val="1"/>
          <w:sz w:val="32"/>
          <w:szCs w:val="32"/>
          <w:u w:val="single"/>
        </w:rPr>
      </w:pPr>
      <w:r>
        <w:rPr>
          <w:rFonts w:ascii="Calibri" w:cs="Calibri" w:hAnsi="Calibri" w:eastAsia="Calibri"/>
          <w:b w:val="1"/>
          <w:bCs w:val="1"/>
          <w:sz w:val="32"/>
          <w:szCs w:val="32"/>
          <w:rtl w:val="0"/>
        </w:rPr>
        <w:t xml:space="preserve">  </w:t>
      </w:r>
      <w:r>
        <w:rPr>
          <w:rFonts w:ascii="Calibri" w:cs="Calibri" w:hAnsi="Calibri" w:eastAsia="Calibri"/>
          <w:b w:val="1"/>
          <w:bCs w:val="1"/>
          <w:sz w:val="32"/>
          <w:szCs w:val="32"/>
          <w:u w:val="single"/>
          <w:rtl w:val="0"/>
          <w:lang w:val="en-US"/>
        </w:rPr>
        <w:t>INFORMED FINANCIAL CONSENT</w:t>
      </w:r>
    </w:p>
    <w:p>
      <w:pPr>
        <w:pStyle w:val="Body"/>
        <w:spacing w:line="240" w:lineRule="auto"/>
        <w:ind w:left="1440" w:firstLine="720"/>
        <w:rPr>
          <w:rFonts w:ascii="Calibri" w:cs="Calibri" w:hAnsi="Calibri" w:eastAsia="Calibri"/>
          <w:b w:val="1"/>
          <w:bCs w:val="1"/>
          <w:sz w:val="28"/>
          <w:szCs w:val="28"/>
          <w:u w:val="single"/>
        </w:rPr>
      </w:pPr>
      <w:r>
        <w:rPr>
          <w:rFonts w:ascii="Calibri" w:cs="Calibri" w:hAnsi="Calibri" w:eastAsia="Calibri"/>
          <w:b w:val="1"/>
          <w:bCs w:val="1"/>
          <w:sz w:val="28"/>
          <w:szCs w:val="28"/>
          <w:rtl w:val="0"/>
        </w:rPr>
        <w:t xml:space="preserve">    </w:t>
      </w:r>
      <w:r>
        <w:rPr>
          <w:rFonts w:ascii="Calibri" w:cs="Calibri" w:hAnsi="Calibri" w:eastAsia="Calibri"/>
          <w:b w:val="1"/>
          <w:bCs w:val="1"/>
          <w:sz w:val="28"/>
          <w:szCs w:val="28"/>
          <w:u w:val="single"/>
          <w:rtl w:val="0"/>
          <w:lang w:val="en-US"/>
        </w:rPr>
        <w:t>Eclipse Online Private Health Billing</w:t>
      </w:r>
    </w:p>
    <w:p>
      <w:pPr>
        <w:pStyle w:val="Body"/>
        <w:spacing w:line="240" w:lineRule="auto"/>
        <w:jc w:val="center"/>
        <w:rPr>
          <w:rFonts w:ascii="Calibri" w:cs="Calibri" w:hAnsi="Calibri" w:eastAsia="Calibri"/>
          <w:b w:val="1"/>
          <w:bCs w:val="1"/>
          <w:sz w:val="32"/>
          <w:szCs w:val="32"/>
          <w:u w:val="single"/>
        </w:rPr>
      </w:pPr>
    </w:p>
    <w:p>
      <w:pPr>
        <w:pStyle w:val="Body"/>
        <w:spacing w:line="240" w:lineRule="auto"/>
        <w:rPr>
          <w:sz w:val="28"/>
          <w:szCs w:val="28"/>
        </w:rPr>
      </w:pPr>
      <w:r>
        <w:rPr>
          <w:sz w:val="28"/>
          <w:szCs w:val="28"/>
          <w:rtl w:val="0"/>
          <w:lang w:val="en-US"/>
        </w:rPr>
        <w:t xml:space="preserve">If you require any admission to hospital, our Doctors are </w:t>
      </w:r>
      <w:r>
        <w:rPr>
          <w:rFonts w:ascii="Calibri" w:cs="Calibri" w:hAnsi="Calibri" w:eastAsia="Calibri"/>
          <w:b w:val="1"/>
          <w:bCs w:val="1"/>
          <w:sz w:val="28"/>
          <w:szCs w:val="28"/>
          <w:rtl w:val="0"/>
          <w:lang w:val="pt-PT"/>
        </w:rPr>
        <w:t>No Gap</w:t>
      </w:r>
      <w:r>
        <w:rPr>
          <w:sz w:val="28"/>
          <w:szCs w:val="28"/>
          <w:rtl w:val="0"/>
        </w:rPr>
        <w:t xml:space="preserve"> </w:t>
      </w:r>
      <w:r>
        <w:rPr>
          <w:rFonts w:ascii="Calibri" w:cs="Calibri" w:hAnsi="Calibri" w:eastAsia="Calibri"/>
          <w:b w:val="1"/>
          <w:bCs w:val="1"/>
          <w:sz w:val="28"/>
          <w:szCs w:val="28"/>
          <w:rtl w:val="0"/>
          <w:lang w:val="en-US"/>
        </w:rPr>
        <w:t>Cover Practitioners</w:t>
      </w:r>
      <w:r>
        <w:rPr>
          <w:sz w:val="28"/>
          <w:szCs w:val="28"/>
          <w:rtl w:val="0"/>
          <w:lang w:val="en-US"/>
        </w:rPr>
        <w:t>. The Medicare Rebate payable by Medicare and your Private Health Insurance Fund will equate to the total fees for any in hospital services provided by our Doctors.</w:t>
      </w:r>
    </w:p>
    <w:p>
      <w:pPr>
        <w:pStyle w:val="Body"/>
        <w:spacing w:line="240" w:lineRule="auto"/>
        <w:rPr>
          <w:sz w:val="28"/>
          <w:szCs w:val="28"/>
        </w:rPr>
      </w:pPr>
      <w:r>
        <w:rPr>
          <w:sz w:val="28"/>
          <w:szCs w:val="28"/>
          <w:rtl w:val="0"/>
          <w:lang w:val="en-US"/>
        </w:rPr>
        <w:t>Hollywood Haematology Group uses Eclipse on-line billing to lodge any claims for in-patient hospital services. This means that your private health fund will be billed directly for any in-patient hospital services provided by Dr Augustson, Dr Cheah or Dr Gangatharan.</w:t>
      </w:r>
    </w:p>
    <w:p>
      <w:pPr>
        <w:pStyle w:val="Body"/>
        <w:spacing w:line="240" w:lineRule="auto"/>
        <w:rPr>
          <w:sz w:val="28"/>
          <w:szCs w:val="28"/>
        </w:rPr>
      </w:pPr>
      <w:r>
        <w:rPr>
          <w:sz w:val="28"/>
          <w:szCs w:val="28"/>
          <w:rtl w:val="0"/>
          <w:lang w:val="en-US"/>
        </w:rPr>
        <w:t>Any services provided by other Doctors such as Anaesthetists, Radiologists, Nuclear Physicians or Pathologists or other costs associated with your stay in hospital such as accommodation, pharmacy or physiotherapy are not the responsibility of this practice.</w:t>
      </w:r>
    </w:p>
    <w:p>
      <w:pPr>
        <w:pStyle w:val="Body"/>
        <w:spacing w:line="240" w:lineRule="auto"/>
        <w:rPr>
          <w:sz w:val="28"/>
          <w:szCs w:val="28"/>
        </w:rPr>
      </w:pPr>
      <w:r>
        <w:rPr>
          <w:sz w:val="28"/>
          <w:szCs w:val="28"/>
          <w:rtl w:val="0"/>
          <w:lang w:val="en-US"/>
        </w:rPr>
        <w:t>I authorise Hollywood Haematology Group to lodge any Private Health Fund claim electronically for services provided in hospital.</w:t>
      </w:r>
    </w:p>
    <w:p>
      <w:pPr>
        <w:pStyle w:val="Body"/>
        <w:spacing w:line="240" w:lineRule="auto"/>
        <w:rPr>
          <w:sz w:val="28"/>
          <w:szCs w:val="28"/>
        </w:rPr>
      </w:pPr>
    </w:p>
    <w:p>
      <w:pPr>
        <w:pStyle w:val="Body"/>
        <w:spacing w:line="240" w:lineRule="auto"/>
        <w:rPr>
          <w:sz w:val="28"/>
          <w:szCs w:val="28"/>
        </w:rPr>
      </w:pPr>
      <w:r>
        <w:rPr>
          <w:sz w:val="28"/>
          <w:szCs w:val="28"/>
          <w:rtl w:val="0"/>
          <w:lang w:val="en-US"/>
        </w:rPr>
        <w:t>Patient Name________________________________</w:t>
      </w:r>
    </w:p>
    <w:p>
      <w:pPr>
        <w:pStyle w:val="Body"/>
        <w:spacing w:line="240" w:lineRule="auto"/>
        <w:rPr>
          <w:sz w:val="28"/>
          <w:szCs w:val="28"/>
        </w:rPr>
      </w:pPr>
    </w:p>
    <w:p>
      <w:pPr>
        <w:pStyle w:val="Body"/>
        <w:spacing w:line="240" w:lineRule="auto"/>
        <w:rPr>
          <w:sz w:val="28"/>
          <w:szCs w:val="28"/>
        </w:rPr>
      </w:pPr>
      <w:r>
        <w:rPr>
          <w:sz w:val="28"/>
          <w:szCs w:val="28"/>
          <w:rtl w:val="0"/>
          <w:lang w:val="en-US"/>
        </w:rPr>
        <w:t>Patient Signature_____________________________</w:t>
      </w:r>
    </w:p>
    <w:p>
      <w:pPr>
        <w:pStyle w:val="Body"/>
        <w:spacing w:line="240" w:lineRule="auto"/>
        <w:rPr>
          <w:sz w:val="28"/>
          <w:szCs w:val="28"/>
        </w:rPr>
      </w:pPr>
    </w:p>
    <w:p>
      <w:pPr>
        <w:pStyle w:val="Body"/>
        <w:spacing w:line="240" w:lineRule="auto"/>
        <w:rPr>
          <w:sz w:val="28"/>
          <w:szCs w:val="28"/>
        </w:rPr>
      </w:pPr>
      <w:r>
        <w:rPr>
          <w:sz w:val="28"/>
          <w:szCs w:val="28"/>
          <w:rtl w:val="0"/>
          <w:lang w:val="en-US"/>
        </w:rPr>
        <w:t>Date____/____/________</w:t>
      </w:r>
    </w:p>
    <w:p>
      <w:pPr>
        <w:pStyle w:val="Body"/>
        <w:spacing w:line="240" w:lineRule="auto"/>
        <w:rPr>
          <w:sz w:val="28"/>
          <w:szCs w:val="28"/>
        </w:rPr>
      </w:pPr>
    </w:p>
    <w:p>
      <w:pPr>
        <w:pStyle w:val="Body"/>
        <w:spacing w:line="240" w:lineRule="auto"/>
        <w:jc w:val="center"/>
        <w:rPr>
          <w:sz w:val="28"/>
          <w:szCs w:val="28"/>
        </w:rPr>
      </w:pPr>
    </w:p>
    <w:p>
      <w:pPr>
        <w:pStyle w:val="Body"/>
        <w:spacing w:line="240" w:lineRule="auto"/>
        <w:rPr>
          <w:sz w:val="28"/>
          <w:szCs w:val="28"/>
        </w:rPr>
      </w:pPr>
      <w:r>
        <w:rPr>
          <w:sz w:val="28"/>
          <w:szCs w:val="28"/>
          <w:rtl w:val="0"/>
          <w:lang w:val="en-US"/>
        </w:rPr>
        <w:t>Please speak with the practice staff or contact your Private Health Fund if you have any queries.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